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中共霸州市委</w:t>
      </w:r>
      <w:r>
        <w:rPr>
          <w:rFonts w:hint="eastAsia" w:ascii="方正小标宋简体" w:hAnsi="Times New Roman" w:eastAsia="方正小标宋简体" w:cs="Times New Roman"/>
          <w:color w:val="000000" w:themeColor="text1"/>
          <w:sz w:val="44"/>
          <w:szCs w:val="44"/>
          <w14:textFill>
            <w14:solidFill>
              <w14:schemeClr w14:val="tx1"/>
            </w14:solidFill>
          </w14:textFill>
        </w:rPr>
        <w:t>机构编制委员会办公室2</w:t>
      </w:r>
      <w:r>
        <w:rPr>
          <w:rFonts w:hint="eastAsia" w:ascii="方正小标宋简体" w:hAnsi="Times New Roman" w:eastAsia="方正小标宋简体" w:cs="Times New Roman"/>
          <w:sz w:val="44"/>
          <w:szCs w:val="44"/>
        </w:rPr>
        <w:t>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按照《预算法》、《地方预决算公开操作规程》和《河北省省级预算公开办法》规定，现将中共霸</w:t>
      </w:r>
      <w:r>
        <w:rPr>
          <w:rFonts w:hint="eastAsia" w:ascii="仿宋_GB2312" w:hAnsi="Times New Roman" w:eastAsia="仿宋_GB2312" w:cs="Times New Roman"/>
          <w:color w:val="000000" w:themeColor="text1"/>
          <w:sz w:val="32"/>
          <w:szCs w:val="32"/>
          <w14:textFill>
            <w14:solidFill>
              <w14:schemeClr w14:val="tx1"/>
            </w14:solidFill>
          </w14:textFill>
        </w:rPr>
        <w:t>州市委机构编制委员会办公室20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w:t>
      </w:r>
      <w:r>
        <w:rPr>
          <w:rFonts w:hint="eastAsia" w:ascii="仿宋_GB2312" w:hAnsi="Times New Roman" w:eastAsia="仿宋_GB2312" w:cs="Times New Roman"/>
          <w:sz w:val="32"/>
          <w:szCs w:val="32"/>
        </w:rPr>
        <w:t>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根据《中共霸州市委机构编制委员会办公室职能配置、内设机构和人员编制规定》， 中共霸州市委机构编制委员会办公室的主要职责是：</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贯彻落实党中央、省委、廊坊及霸州市委关于行政管理体制和机构改革以及机构编制管理的政策法规，组织拟订相关政策规定和地方性文件并监督实施。管理和指导全市各级党委、人大、政府、政协、监察委机关，各民主党派、人民团体机关以及全市事业单位的机构编制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（二）组织拟订全市行政管理体制改革和市委、市政府机构改革方案并组织实施。指导全市行政管理体制和机构改革以及机构编制管理工作；负责行政执法体制改革工作。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（三）协调市委、市政府各部门职能配置及其调整。协调市委、市政府部门之间的职责分工。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审核或审批市委、市政府各部门及各部门派出机构的职能配置、机构设置、人员编制和领导职数；审核市人大、市政协、市监察委和市级各民主党派、人民团体机关的职能配置、机构设置、人员编制和领导职数。</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（五）审核党委、政府副股级以上机构设置和调整事宜；审核人大、政协、监察委和各民主党派、人民团体机关副股级以上机构设置和调整事宜。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部门事业单位管理体制改革和机构编制管理工作。审核全市副股级以上事业单位的机构编制事宜；负责全市党政群机关统一社会信用代码赋码管理工作，负责全市事业单位法人登记管理和监督检查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（七）贯彻落实开发区机构编制管理办法。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（八）负责全市机构编制的总量控制和动态管理。会同有关部门负责机构编制实名制工作；负责市直机关事业单位编制使用标准；建立健全机构编制部门与有关部门的协调配合约束机制。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（十）负责全市机构编制电子政务和信息化工作。负责全市机构编制统计工作；负责机构编制网站的建设管理以及网络安全工作；指导全市党政群机关、事业单位和其他非营利性单位网上名称管理工作。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（十一）组织开展行政体制改革及机构编制管理创新基础性和前瞻性研究。</w:t>
      </w:r>
    </w:p>
    <w:p>
      <w:pPr>
        <w:ind w:firstLine="640" w:firstLineChars="200"/>
        <w:rPr>
          <w:rFonts w:ascii="仿宋_GB2312" w:hAnsi="Times New Roman" w:eastAsia="仿宋_GB2312" w:cs="Times New Roman"/>
          <w:sz w:val="32"/>
          <w:szCs w:val="32"/>
        </w:rPr>
        <w:sectPr>
          <w:footerReference r:id="rId3" w:type="default"/>
          <w:pgSz w:w="16839" w:h="11907" w:orient="landscape"/>
          <w:pgMar w:top="1134" w:right="1531" w:bottom="1134" w:left="1474" w:header="851" w:footer="992" w:gutter="0"/>
          <w:pgNumType w:start="1"/>
          <w:cols w:space="720" w:num="1"/>
          <w:docGrid w:type="lines" w:linePitch="312" w:charSpace="0"/>
        </w:sectPr>
      </w:pPr>
      <w:r>
        <w:rPr>
          <w:rFonts w:hint="eastAsia" w:ascii="仿宋_GB2312" w:hAnsi="Times New Roman" w:eastAsia="仿宋_GB2312" w:cs="Times New Roman"/>
          <w:sz w:val="32"/>
          <w:szCs w:val="32"/>
        </w:rPr>
        <w:t>（十二）承办市委、市政府和市机构编制委员会交办的其他任务。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中共霸州市委机构编制委员会办公室</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tabs>
                <w:tab w:val="left" w:pos="560"/>
              </w:tabs>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ab/>
            </w:r>
            <w:r>
              <w:rPr>
                <w:rFonts w:hint="eastAsia" w:ascii="Times New Roman" w:hAnsi="Times New Roman" w:eastAsia="方正书宋_GBK" w:cs="Times New Roman"/>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年预算收入364.98万元，其中：一般公共预算收入364.98万元，政府性基金预算收入0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收支预算总表支出栏、基本支出表、项目支出表按经济分类和支出功能分类科目编制，反映中共霸州市委机构编制委员会办公室20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年本部门支出预算364.98万元，其中：基本支出356.22万元，包括：人员经费312.56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和日常公用经费43.66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；项目支出8.76万元，全部为本级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主要为“政务”和“公益”中文域名注册和续费工作经费；上缴上级支出0万元，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年预算收支安排364.98万元，较20</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年预算</w:t>
      </w:r>
      <w:r>
        <w:rPr>
          <w:rFonts w:hint="eastAsia" w:ascii="仿宋_GB2312" w:hAnsi="Times New Roman" w:eastAsia="仿宋_GB2312" w:cs="Times New Roman"/>
          <w:sz w:val="32"/>
          <w:szCs w:val="32"/>
        </w:rPr>
        <w:t>增加15.06</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万元，其中：基本支出增加28.4万元，主要为增加了人员在经费的支出；项目支出减少13.34万元，主要为减少改革工作经费和机构编制信息管理平台迁移工作经费的项目支出。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43.66万元，主要用于办公区的日常维修、办公用房水电费、办公用房取暖费、办公及印刷费，邮电费、培训费、差旅费、工会经费、会议费、福利费、设备购置费、办公用房物业管理费、公务移动通讯费、公务交通补贴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20</w:t>
      </w:r>
      <w:r>
        <w:rPr>
          <w:rFonts w:hint="eastAsia" w:ascii="仿宋_GB2312" w:hAnsi="Times New Roman" w:eastAsia="仿宋_GB2312" w:cs="Times New Roman"/>
          <w:color w:val="auto"/>
          <w:sz w:val="32"/>
          <w:szCs w:val="32"/>
        </w:rPr>
        <w:t>年，我部门“三公”经费预算安排</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万元，其中：因公出国（境）费0万元；公务用车购置及运维费0万元（其中：公务用车购置费0万元，公务用车运行维护费0万元)；公务接待费0.20万元，</w:t>
      </w:r>
      <w:bookmarkStart w:id="1" w:name="_Hlk507422617"/>
      <w:r>
        <w:rPr>
          <w:rFonts w:hint="eastAsia" w:ascii="仿宋_GB2312" w:hAnsi="Times New Roman" w:eastAsia="仿宋_GB2312" w:cs="Times New Roman"/>
          <w:sz w:val="32"/>
          <w:szCs w:val="32"/>
        </w:rPr>
        <w:t>与2019年持平，无增减变化。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中共霸州市委编办坚持以习近平新时代中国特色社会主义思想为指导，全面贯彻党的十九大和十九届二中、三中、四</w:t>
      </w:r>
      <w:bookmarkStart w:id="5" w:name="_GoBack"/>
      <w:bookmarkEnd w:id="5"/>
      <w:r>
        <w:rPr>
          <w:rFonts w:hint="eastAsia" w:ascii="仿宋_GB2312" w:hAnsi="Times New Roman" w:eastAsia="仿宋_GB2312" w:cs="Times New Roman"/>
          <w:sz w:val="32"/>
          <w:szCs w:val="32"/>
        </w:rPr>
        <w:t>中全会精神，深入落实习近平总书记对河北工作重要指示批示，深入贯彻中央、省、廊坊市和我市委编委会议决策部署，紧紧围绕持续完善党和国家机构职能体系这一新时代机构编制工作总体目标，以加强党的全面领导为统领，以深化改革为主线，坚持稳中求进工作基调，坚持优化协同高效原则，坚持科学化规范化法定化要求，勇于担当，主动作为，全面完成我市机构改革任务，积极推进重要领域体制机制创新，稳步推进事业单位改革，统筹配置各类编制资源，强化政治机关建设，深化转职能、转方式、转作风，更好服务党的长期执政能力建设，保持定力、坚定信心，攻坚克难、稳中竞进，为推动全市经济社会持续健康发展、为全面建成小康社会收官打下决定性基础提供体制机制保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560" w:firstLineChars="200"/>
        <w:rPr>
          <w:rFonts w:ascii="仿宋_GB2312" w:hAnsi="Times New Roman" w:eastAsia="仿宋_GB2312" w:cs="Times New Roman"/>
          <w:sz w:val="32"/>
          <w:szCs w:val="32"/>
        </w:rPr>
      </w:pPr>
      <w:r>
        <w:rPr>
          <w:rFonts w:eastAsia="方正仿宋_GBK"/>
          <w:sz w:val="28"/>
        </w:rPr>
        <w:t xml:space="preserve"> </w:t>
      </w:r>
      <w:r>
        <w:rPr>
          <w:rFonts w:hint="eastAsia" w:eastAsia="方正仿宋_GBK"/>
          <w:sz w:val="28"/>
        </w:rPr>
        <w:t>1、</w:t>
      </w:r>
      <w:r>
        <w:rPr>
          <w:rFonts w:hint="eastAsia" w:ascii="仿宋_GB2312" w:hAnsi="Times New Roman" w:eastAsia="仿宋_GB2312" w:cs="Times New Roman"/>
          <w:sz w:val="32"/>
          <w:szCs w:val="32"/>
        </w:rPr>
        <w:t>推进事业单位整合精简工作</w:t>
      </w:r>
    </w:p>
    <w:p>
      <w:pPr>
        <w:ind w:firstLine="320" w:firstLineChars="100"/>
        <w:rPr>
          <w:rFonts w:ascii="仿宋_GB2312" w:hAnsi="Times New Roman" w:eastAsia="仿宋_GB2312" w:cs="Times New Roman"/>
          <w:sz w:val="32"/>
          <w:szCs w:val="32"/>
        </w:rPr>
      </w:pPr>
      <w:r>
        <w:rPr>
          <w:rFonts w:hint="eastAsia" w:ascii="仿宋_GB2312" w:hAnsi="Times New Roman" w:eastAsia="仿宋_GB2312" w:cs="Times New Roman"/>
          <w:sz w:val="32"/>
          <w:szCs w:val="32"/>
        </w:rPr>
        <w:drawing>
          <wp:anchor distT="0" distB="0" distL="0" distR="0" simplePos="0" relativeHeight="251659264" behindDoc="0" locked="0" layoutInCell="1" allowOverlap="1">
            <wp:simplePos x="0" y="0"/>
            <wp:positionH relativeFrom="column">
              <wp:align>left</wp:align>
            </wp:positionH>
            <wp:positionV relativeFrom="paragraph">
              <wp:posOffset>0</wp:posOffset>
            </wp:positionV>
            <wp:extent cx="152400" cy="152400"/>
            <wp:effectExtent l="0" t="0" r="0" b="0"/>
            <wp:wrapSquare wrapText="bothSides"/>
            <wp:docPr id="1"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x_id_1_"/>
                    <pic:cNvPicPr>
                      <a:picLocks noChangeAspect="1"/>
                    </pic:cNvPicPr>
                  </pic:nvPicPr>
                  <pic:blipFill>
                    <a:blip r:embed="rId6" cstate="print"/>
                    <a:stretch>
                      <a:fillRect/>
                    </a:stretch>
                  </pic:blipFill>
                  <pic:spPr>
                    <a:xfrm>
                      <a:off x="0" y="0"/>
                      <a:ext cx="152400" cy="152400"/>
                    </a:xfrm>
                    <a:prstGeom prst="rect">
                      <a:avLst/>
                    </a:prstGeom>
                    <a:noFill/>
                    <a:ln>
                      <a:noFill/>
                    </a:ln>
                  </pic:spPr>
                </pic:pic>
              </a:graphicData>
            </a:graphic>
          </wp:anchor>
        </w:drawing>
      </w:r>
      <w:r>
        <w:rPr>
          <w:rFonts w:hint="eastAsia" w:ascii="仿宋_GB2312" w:hAnsi="Times New Roman" w:eastAsia="仿宋_GB2312" w:cs="Times New Roman"/>
          <w:sz w:val="32"/>
          <w:szCs w:val="32"/>
        </w:rPr>
        <w:t>绩效目标：按照机构改革的相关要求，切实做好市直事业单位的划转、调整、整合工作。在廊坊市委编办的指导下，充分借鉴其他县市经验和做法，指导乡镇（区、办）和市直部门加大对“小散、弱”事业单位的撤并力度，探索推进职能相近的事业单位机构整合，规范机构设置，明确职能定位，优化结构布局，强化公益属性，提高事业单位服务能力和服务水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绩效指标：全市事业单位清理规范工作完成率100%；按上级规定时间内完成事业单位机构改革工作。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2、做好机构编制管理实名制工作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健全机构编制实名制管理，严格编制使用核准制度。进一步加强和完善机构编制信息管理平合建设，充分发挥实名制管理平台作用，全面落实实名制数据月报制度。按照廊坊市委编办部署，开展新一轮机构编制核查。加强机构编制统计分析工作。强化机构与行政体制改革和机构编制管理研究工作，提升机构编制管理基础性、前瞻性理论研究水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绩效指标：全年机构编制统计分析不少于2次；机构编制月报调校数据准确率100%。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3、加强对事业单位登记管理工作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推动事业单位“双随机、一公开”监管全覆盖、常态化。落实失信联合惩戒机制相关制度，推进事业单位信用体系建设，加强信息共享和协同监管，继续优化和规范日常登记管理服务。推动全市党政群机关、事业单位和其他非营利性单位网上名称管理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绩效指标：完成党政群机关、事业单位网上名称管理（注册和续费）工作覆盖率100%；搜索、访问党政机关及事业单位中文域名准确率90%。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1、加强组织领导</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2、加强队伍建设</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进一步理顺管理体制，合理配置工作人员，优化人员结构，加快完善工作机制。加强机构编制管理系统工作人员政策法规、职业道德、业务知识能力培训，进一步提升工作人员队伍的思想素质和业务水平。加强作风和制度建设，强化重点岗位廉政风险教育、宗旨教育，打造优质文明服务窗口，努力建设一支廉洁、务实、高效的工作队伍，树立机构编制部门良好形象。</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3、加大宣传力度</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充分利用网络、报刊等多种媒体，全方位、多角度宣传机构编制部门法律法规和政策举措，宣传机构编制管理工作的重大意义和主要内容，争取服务对象的理解和支持。着力宣传工作中涌现的典型经验和先进事例，充分发挥示范带动作用，为机构编制管理工作事业发展营造良好的社会环境和舆论氛围。</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1"/>
        <w:rPr>
          <w:rFonts w:hAnsi="宋体"/>
          <w:b/>
          <w:sz w:val="28"/>
        </w:rPr>
      </w:pPr>
      <w:r>
        <w:rPr>
          <w:rFonts w:hint="eastAsia" w:ascii="方正仿宋_GBK" w:eastAsia="方正仿宋_GBK"/>
          <w:b/>
          <w:sz w:val="28"/>
        </w:rPr>
        <w:t>1、“政务”和“公益”中文域名注册和续费工作经费绩效目标表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实现对同级党政机关开办网站主体资格的审核和对已开办网站的单位进行复核的工作目标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中文域名注册和续费覆盖率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已进行中文域名注册和续费的单位占全市单位数量的比例（党政机关、事业单位共计438个）</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搜索访问党政机关及事业单位中文域名准确率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社会公众通过中文域名准确访问党政机关或事业单位网站的比例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&gt;90百分比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党政机关、事业单位的信息安全度提高情况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是否提高了党政机关、事业单位的信息安全度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党政机关、事业单位中文网站的可信度和认知度提高情况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是否提高了党政机关、事业单位中文网站的可信度和认知度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中文域名使用单位的满意度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对使用域名感到满意的单位占所有使用中文域名单位的比例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0" w:firstLineChars="200"/>
        <w:rPr>
          <w:rFonts w:ascii="仿宋_GB2312" w:hAnsi="黑体" w:eastAsia="仿宋_GB2312"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4" w:name="_Toc471398468"/>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年，我部门安排政府采购预算0.25万元。具体内容见下表。</w:t>
      </w:r>
    </w:p>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部门政府采购预算</w:t>
      </w:r>
      <w:bookmarkEnd w:id="4"/>
    </w:p>
    <w:tbl>
      <w:tblPr>
        <w:tblStyle w:val="7"/>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88"/>
        <w:gridCol w:w="1068"/>
        <w:gridCol w:w="875"/>
        <w:gridCol w:w="1397"/>
        <w:gridCol w:w="875"/>
        <w:gridCol w:w="875"/>
        <w:gridCol w:w="915"/>
        <w:gridCol w:w="898"/>
        <w:gridCol w:w="898"/>
        <w:gridCol w:w="898"/>
        <w:gridCol w:w="819"/>
        <w:gridCol w:w="881"/>
        <w:gridCol w:w="885"/>
        <w:gridCol w:w="4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63"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hAnsi="Times New Roman" w:eastAsia="方正书宋_GBK" w:cs="Times New Roman"/>
                <w:b/>
                <w:szCs w:val="24"/>
              </w:rPr>
            </w:pPr>
            <w:r>
              <w:rPr>
                <w:rFonts w:hint="eastAsia" w:ascii="方正书宋_GBK" w:hAnsi="Times New Roman" w:eastAsia="方正书宋_GBK" w:cs="Times New Roman"/>
                <w:b/>
                <w:szCs w:val="24"/>
              </w:rPr>
              <w:t>118中共霸州市委机构编制委员会办公室</w:t>
            </w:r>
          </w:p>
        </w:tc>
        <w:tc>
          <w:tcPr>
            <w:tcW w:w="203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20" w:type="pct"/>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30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49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30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30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319"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2036" w:type="pct"/>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37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1546" w:type="pct"/>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172" w:type="pct"/>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7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93"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0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9"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317"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289"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311"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312"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172" w:type="pct"/>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43.66</w:t>
            </w:r>
          </w:p>
        </w:tc>
        <w:tc>
          <w:tcPr>
            <w:tcW w:w="30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493" w:type="pct"/>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309"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张</w:t>
            </w:r>
          </w:p>
        </w:tc>
        <w:tc>
          <w:tcPr>
            <w:tcW w:w="309"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19" w:type="pct"/>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317" w:type="pct"/>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317" w:type="pct"/>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2" w:type="pct"/>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3" w:type="pc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43.66</w:t>
            </w:r>
          </w:p>
        </w:tc>
        <w:tc>
          <w:tcPr>
            <w:tcW w:w="309"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木骨架为主的椅凳类</w:t>
            </w:r>
          </w:p>
        </w:tc>
        <w:tc>
          <w:tcPr>
            <w:tcW w:w="493" w:type="pct"/>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309"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把</w:t>
            </w:r>
          </w:p>
        </w:tc>
        <w:tc>
          <w:tcPr>
            <w:tcW w:w="309"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19" w:type="pct"/>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317" w:type="pct"/>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317" w:type="pct"/>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317" w:type="pct"/>
            <w:shd w:val="clear" w:color="auto" w:fill="auto"/>
            <w:vAlign w:val="center"/>
          </w:tcPr>
          <w:p>
            <w:pPr>
              <w:spacing w:line="300" w:lineRule="exact"/>
              <w:jc w:val="right"/>
              <w:rPr>
                <w:rFonts w:ascii="方正书宋_GBK" w:hAnsi="Times New Roman" w:eastAsia="方正书宋_GBK" w:cs="Times New Roman"/>
                <w:b/>
                <w:szCs w:val="24"/>
              </w:rPr>
            </w:pPr>
          </w:p>
        </w:tc>
        <w:tc>
          <w:tcPr>
            <w:tcW w:w="289"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1" w:type="pct"/>
            <w:shd w:val="clear" w:color="auto" w:fill="auto"/>
            <w:vAlign w:val="center"/>
          </w:tcPr>
          <w:p>
            <w:pPr>
              <w:spacing w:line="300" w:lineRule="exact"/>
              <w:jc w:val="right"/>
              <w:rPr>
                <w:rFonts w:ascii="方正书宋_GBK" w:hAnsi="Times New Roman" w:eastAsia="方正书宋_GBK" w:cs="Times New Roman"/>
                <w:b/>
                <w:szCs w:val="24"/>
              </w:rPr>
            </w:pPr>
          </w:p>
        </w:tc>
        <w:tc>
          <w:tcPr>
            <w:tcW w:w="312" w:type="pct"/>
            <w:shd w:val="clear" w:color="auto" w:fill="auto"/>
            <w:vAlign w:val="center"/>
          </w:tcPr>
          <w:p>
            <w:pPr>
              <w:spacing w:line="300" w:lineRule="exact"/>
              <w:jc w:val="right"/>
              <w:rPr>
                <w:rFonts w:ascii="方正书宋_GBK" w:hAnsi="Times New Roman" w:eastAsia="方正书宋_GBK" w:cs="Times New Roman"/>
                <w:b/>
                <w:szCs w:val="24"/>
              </w:rPr>
            </w:pPr>
          </w:p>
        </w:tc>
        <w:tc>
          <w:tcPr>
            <w:tcW w:w="172" w:type="pct"/>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中共霸州市委机构编制委员会办公室上年末固定资产金额为57.844万元（详见下表）。本年度各处室拟购置固定资产总额为0.25万元，主要为办公家具等，已列入政府采购预算，详见政府采购预算表。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中共霸州市委机构编制委员会办公室部门固定资产占用情况表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编制部门：118中共霸州市委机构编制委员会办公室</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57.844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39.864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separate"/>
    </w:r>
    <w:r>
      <w:rPr>
        <w:rStyle w:val="9"/>
      </w:rPr>
      <w:t>1</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12</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340F"/>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225B"/>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31E7B"/>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7F82D1A"/>
    <w:rsid w:val="0DBC2D8F"/>
    <w:rsid w:val="14BB2B46"/>
    <w:rsid w:val="151B277C"/>
    <w:rsid w:val="161B6C66"/>
    <w:rsid w:val="1C1D073D"/>
    <w:rsid w:val="1DD76CDA"/>
    <w:rsid w:val="1F4D55ED"/>
    <w:rsid w:val="20BB1D12"/>
    <w:rsid w:val="256F4210"/>
    <w:rsid w:val="2CA156F3"/>
    <w:rsid w:val="338D049A"/>
    <w:rsid w:val="3581436D"/>
    <w:rsid w:val="358B2E4A"/>
    <w:rsid w:val="37B16A0D"/>
    <w:rsid w:val="38AA09C1"/>
    <w:rsid w:val="3B3B3001"/>
    <w:rsid w:val="4D95378B"/>
    <w:rsid w:val="50826E30"/>
    <w:rsid w:val="5625301A"/>
    <w:rsid w:val="6A20262A"/>
    <w:rsid w:val="6A420F5B"/>
    <w:rsid w:val="6BB02238"/>
    <w:rsid w:val="6DD22D3D"/>
    <w:rsid w:val="7149617D"/>
    <w:rsid w:val="7A8E45CC"/>
    <w:rsid w:val="7B8B1FA5"/>
    <w:rsid w:val="7BF428C7"/>
    <w:rsid w:val="7DAD7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styleId="9">
    <w:name w:val="page number"/>
    <w:basedOn w:val="8"/>
    <w:qFormat/>
    <w:uiPriority w:val="0"/>
  </w:style>
  <w:style w:type="character" w:customStyle="1" w:styleId="10">
    <w:name w:val="页眉 Char"/>
    <w:basedOn w:val="8"/>
    <w:link w:val="4"/>
    <w:qFormat/>
    <w:uiPriority w:val="0"/>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4A4A9-C446-4003-8428-97E61B5A8D2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778</Words>
  <Characters>4437</Characters>
  <Lines>36</Lines>
  <Paragraphs>10</Paragraphs>
  <TotalTime>61</TotalTime>
  <ScaleCrop>false</ScaleCrop>
  <LinksUpToDate>false</LinksUpToDate>
  <CharactersWithSpaces>5205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hanyu</cp:lastModifiedBy>
  <cp:lastPrinted>2018-02-28T01:51:00Z</cp:lastPrinted>
  <dcterms:modified xsi:type="dcterms:W3CDTF">2021-04-29T02:33:23Z</dcterms:modified>
  <cp:revision>1409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CB82326130C44F63964077983FD19E1B</vt:lpwstr>
  </property>
</Properties>
</file>